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5"/>
        <w:ind w:left="5387" w:hang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4</w:t>
      </w:r>
    </w:p>
    <w:p>
      <w:pPr>
        <w:pStyle w:val="Style25"/>
        <w:ind w:left="5387" w:hang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5"/>
        <w:ind w:left="5387" w:hang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Ы</w:t>
      </w:r>
    </w:p>
    <w:p>
      <w:pPr>
        <w:pStyle w:val="Style25"/>
        <w:ind w:left="5387" w:hang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</w:p>
    <w:p>
      <w:pPr>
        <w:pStyle w:val="Style25"/>
        <w:ind w:left="5387" w:hang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Воздвиженского сельского поселения</w:t>
      </w:r>
    </w:p>
    <w:p>
      <w:pPr>
        <w:pStyle w:val="Style25"/>
        <w:ind w:left="5387" w:hang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</w:p>
    <w:p>
      <w:pPr>
        <w:pStyle w:val="Normal"/>
        <w:tabs>
          <w:tab w:val="clear" w:pos="708"/>
          <w:tab w:val="left" w:pos="851" w:leader="none"/>
        </w:tabs>
        <w:ind w:left="5387" w:hanging="1"/>
        <w:rPr>
          <w:rFonts w:ascii="Times New Roman" w:hAnsi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09.01.2024 года № 01-Р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eastAsia="Calibri" w:eastAsiaTheme="minorHAnsi"/>
          <w:b/>
          <w:b/>
          <w:sz w:val="28"/>
          <w:szCs w:val="28"/>
          <w:lang w:eastAsia="en-US"/>
        </w:rPr>
      </w:pPr>
      <w:r>
        <w:rPr>
          <w:rFonts w:eastAsia="Calibri" w:eastAsiaTheme="minorHAnsi"/>
          <w:b/>
          <w:sz w:val="28"/>
          <w:szCs w:val="28"/>
          <w:lang w:eastAsia="en-US"/>
        </w:rPr>
      </w:r>
    </w:p>
    <w:p>
      <w:pPr>
        <w:pStyle w:val="Normal"/>
        <w:jc w:val="center"/>
        <w:rPr>
          <w:rFonts w:eastAsia="Calibri" w:eastAsiaTheme="minorHAnsi"/>
          <w:b/>
          <w:b/>
          <w:sz w:val="28"/>
          <w:szCs w:val="28"/>
          <w:lang w:eastAsia="en-US"/>
        </w:rPr>
      </w:pPr>
      <w:r>
        <w:rPr>
          <w:rFonts w:eastAsia="Calibri" w:eastAsiaTheme="minorHAnsi"/>
          <w:b/>
          <w:sz w:val="28"/>
          <w:szCs w:val="28"/>
          <w:lang w:eastAsia="en-US"/>
        </w:rPr>
        <w:t>ПЕРЕЧЕНЬ</w:t>
      </w:r>
    </w:p>
    <w:p>
      <w:pPr>
        <w:pStyle w:val="Normal"/>
        <w:jc w:val="center"/>
        <w:rPr>
          <w:rFonts w:eastAsia="Calibri" w:eastAsiaTheme="minorHAnsi"/>
          <w:b/>
          <w:b/>
          <w:sz w:val="28"/>
          <w:szCs w:val="28"/>
          <w:lang w:eastAsia="en-US"/>
        </w:rPr>
      </w:pPr>
      <w:r>
        <w:rPr>
          <w:rFonts w:eastAsia="Calibri" w:eastAsiaTheme="minorHAnsi"/>
          <w:b/>
          <w:sz w:val="28"/>
          <w:szCs w:val="28"/>
          <w:lang w:eastAsia="en-US"/>
        </w:rPr>
        <w:t xml:space="preserve">кодов и причин отклонений от планового процента </w:t>
      </w:r>
    </w:p>
    <w:p>
      <w:pPr>
        <w:pStyle w:val="Normal"/>
        <w:jc w:val="center"/>
        <w:rPr>
          <w:rFonts w:eastAsia="Calibri" w:eastAsiaTheme="minorHAnsi"/>
          <w:b/>
          <w:b/>
          <w:sz w:val="28"/>
          <w:szCs w:val="28"/>
          <w:lang w:eastAsia="en-US"/>
        </w:rPr>
      </w:pPr>
      <w:r>
        <w:rPr>
          <w:rFonts w:eastAsia="Calibri" w:eastAsiaTheme="minorHAnsi"/>
          <w:b/>
          <w:sz w:val="28"/>
          <w:szCs w:val="28"/>
          <w:lang w:eastAsia="en-US"/>
        </w:rPr>
        <w:t xml:space="preserve">исполнения формы 0503164 «Сведения об исполнении </w:t>
      </w:r>
    </w:p>
    <w:p>
      <w:pPr>
        <w:pStyle w:val="Normal"/>
        <w:jc w:val="center"/>
        <w:rPr>
          <w:rFonts w:eastAsia="Calibri" w:eastAsiaTheme="minorHAnsi"/>
          <w:b/>
          <w:b/>
          <w:sz w:val="28"/>
          <w:szCs w:val="28"/>
          <w:lang w:eastAsia="en-US"/>
        </w:rPr>
      </w:pPr>
      <w:r>
        <w:rPr>
          <w:rFonts w:eastAsia="Calibri" w:eastAsiaTheme="minorHAnsi"/>
          <w:b/>
          <w:sz w:val="28"/>
          <w:szCs w:val="28"/>
          <w:lang w:eastAsia="en-US"/>
        </w:rPr>
        <w:t xml:space="preserve">бюджета» по разделам «Доходы бюджета», </w:t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«Источники финансирования дефицита бюджета</w:t>
      </w:r>
      <w:r>
        <w:rPr>
          <w:color w:val="000000"/>
          <w:sz w:val="28"/>
          <w:szCs w:val="28"/>
        </w:rPr>
        <w:t>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475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88"/>
        <w:gridCol w:w="8286"/>
      </w:tblGrid>
      <w:tr>
        <w:trPr>
          <w:trHeight w:val="480" w:hRule="atLeast"/>
        </w:trPr>
        <w:tc>
          <w:tcPr>
            <w:tcW w:w="9474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  <w:t>Раздел «Доходы бюджета»</w:t>
            </w:r>
          </w:p>
          <w:p>
            <w:pPr>
              <w:pStyle w:val="Normal"/>
              <w:widowControl w:val="false"/>
              <w:jc w:val="center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</w:tr>
      <w:tr>
        <w:trPr>
          <w:trHeight w:val="77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причины</w:t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причины</w:t>
            </w:r>
          </w:p>
        </w:tc>
      </w:tr>
    </w:tbl>
    <w:p>
      <w:pPr>
        <w:pStyle w:val="Normal"/>
        <w:spacing w:lineRule="atLeast" w:line="0"/>
        <w:rPr/>
      </w:pPr>
      <w:r>
        <w:rPr/>
      </w:r>
    </w:p>
    <w:tbl>
      <w:tblPr>
        <w:tblW w:w="9475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88"/>
        <w:gridCol w:w="8286"/>
      </w:tblGrid>
      <w:tr>
        <w:trPr>
          <w:tblHeader w:val="true"/>
          <w:trHeight w:val="77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>
        <w:trPr>
          <w:trHeight w:val="279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Возврат ошибочно зачисленных средств</w:t>
            </w:r>
          </w:p>
        </w:tc>
      </w:tr>
      <w:tr>
        <w:trPr>
          <w:trHeight w:val="211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Возврат, зачет либо уточнение вида и принадлежности платежей прошлых лет в текущем году</w:t>
            </w:r>
          </w:p>
        </w:tc>
      </w:tr>
      <w:tr>
        <w:trPr>
          <w:trHeight w:val="222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Зачисление невыясненных платежей в последний день отчетного периода</w:t>
            </w:r>
          </w:p>
        </w:tc>
      </w:tr>
      <w:tr>
        <w:trPr>
          <w:trHeight w:val="84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Заявительный характер субсидирования организаций, производителей                 товаров, работ и услуг, не поддается точному прогнозированию</w:t>
            </w:r>
          </w:p>
        </w:tc>
      </w:tr>
      <w:tr>
        <w:trPr>
          <w:trHeight w:val="458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Объем возврата восстановленных остатков межбюджетных трансфертов,  имеющих целевое назначение, прошлых лет</w:t>
            </w:r>
          </w:p>
        </w:tc>
      </w:tr>
      <w:tr>
        <w:trPr>
          <w:trHeight w:val="509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Объем возврата остатков межбюджетных трансфертов, имеющих целевое назначение, прошлых лет</w:t>
            </w:r>
          </w:p>
        </w:tc>
      </w:tr>
      <w:tr>
        <w:trPr>
          <w:trHeight w:val="277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Поступление доходов по сроку реализации мероприятий запланировано на II квартал текущего года</w:t>
            </w:r>
          </w:p>
        </w:tc>
      </w:tr>
      <w:tr>
        <w:trPr>
          <w:trHeight w:val="187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Поступление доходов по сроку реализации мероприятий запланировано на III квартал текущего года</w:t>
            </w:r>
          </w:p>
        </w:tc>
      </w:tr>
      <w:tr>
        <w:trPr>
          <w:trHeight w:val="395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Поступление доходов по сроку реализации мероприятий запланировано на IV квартал текущего года</w:t>
            </w:r>
          </w:p>
        </w:tc>
      </w:tr>
      <w:tr>
        <w:trPr>
          <w:trHeight w:val="333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Поступление средств в соответствии с фактически произведенными                 расходами на основании представленных документов</w:t>
            </w:r>
          </w:p>
        </w:tc>
      </w:tr>
      <w:tr>
        <w:trPr>
          <w:trHeight w:val="87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Поступления ожидаются в следующих отчетных периодах</w:t>
            </w:r>
          </w:p>
        </w:tc>
      </w:tr>
      <w:tr>
        <w:trPr>
          <w:trHeight w:val="385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дотации в соответствии с кассовым планом исполнения                бюджета</w:t>
            </w:r>
          </w:p>
        </w:tc>
      </w:tr>
      <w:tr>
        <w:trPr>
          <w:trHeight w:val="153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бюджету поселения из  бюджета района в соответствии с утвержденным порядком</w:t>
            </w:r>
          </w:p>
        </w:tc>
      </w:tr>
      <w:tr>
        <w:trPr>
          <w:trHeight w:val="77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Сложившаяся динамика поступлений в соответствии с договорами                  о предоставлении бюджетных кредитов бюджетам поселений Курганинского района</w:t>
            </w:r>
          </w:p>
        </w:tc>
      </w:tr>
      <w:tr>
        <w:trPr>
          <w:trHeight w:val="77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Сложившаяся динамика поступлений доходов с учетом сроков уплаты,     установленных договорами аренды имущества (в том числе земельных участков)</w:t>
            </w:r>
          </w:p>
        </w:tc>
      </w:tr>
      <w:tr>
        <w:trPr>
          <w:trHeight w:val="234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Фактическое зачисление безвозмездных поступлений от государственных (муниципальных) организаций, не поддается точному прогнозированию</w:t>
            </w:r>
          </w:p>
        </w:tc>
      </w:tr>
      <w:tr>
        <w:trPr>
          <w:trHeight w:val="840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Фактическое зачисление безвозмездных поступлений от физических                  и юридических лиц на финансовое обеспечение дорожной деятельности, не поддается точному прогнозированию</w:t>
            </w:r>
          </w:p>
        </w:tc>
      </w:tr>
      <w:tr>
        <w:trPr>
          <w:trHeight w:val="286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Фактическое поступление дивидендов по результатам работы акционерных обществ за отчетный период</w:t>
            </w:r>
          </w:p>
        </w:tc>
      </w:tr>
      <w:tr>
        <w:trPr>
          <w:trHeight w:val="649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Фактическое поступление доходов от возврата автономными учреждениями остатков субсидий прошлых лет, не поддается точному прогнозированию</w:t>
            </w:r>
          </w:p>
        </w:tc>
      </w:tr>
      <w:tr>
        <w:trPr>
          <w:trHeight w:val="507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Фактическое поступление доходов от возврата бюджетными учреждениями остатков субсидий прошлых лет, не поддается точному прогнозированию</w:t>
            </w:r>
          </w:p>
        </w:tc>
      </w:tr>
      <w:tr>
        <w:trPr>
          <w:trHeight w:val="252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Фактическое поступление доходов от возврата иными организациями                  остатков субсидий прошлых лет, не поддается точному прогнозированию</w:t>
            </w:r>
          </w:p>
        </w:tc>
      </w:tr>
      <w:tr>
        <w:trPr>
          <w:trHeight w:val="635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Фактическое поступление доходов от возврата остатков межбюджетных трансфертов, имеющих целевое назначение, не поддается точному                    прогнозированию</w:t>
            </w:r>
          </w:p>
        </w:tc>
      </w:tr>
      <w:tr>
        <w:trPr>
          <w:trHeight w:val="77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Фактическое поступление доходов от государственной пошлины                      за совершение юридически значимых действий</w:t>
            </w:r>
          </w:p>
        </w:tc>
      </w:tr>
      <w:tr>
        <w:trPr>
          <w:trHeight w:val="77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Фактическое поступление доходов от денежных пожертвований,                      предоставляемых физическими лицами, не поддается точному                        прогнозированию</w:t>
            </w:r>
          </w:p>
        </w:tc>
      </w:tr>
      <w:tr>
        <w:trPr>
          <w:trHeight w:val="556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Фактическое поступление доходов от негосударственных организаций в виде грантов для получателей средств бюджетов, не поддается точному                  прогнозированию</w:t>
            </w:r>
          </w:p>
        </w:tc>
      </w:tr>
      <w:tr>
        <w:trPr>
          <w:trHeight w:val="725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Фактическое поступление доходов от оказания платных услуг (работ)                  получателями средств местного бюджета, заявительный                 характер, не поддается точному прогнозированию</w:t>
            </w:r>
          </w:p>
        </w:tc>
      </w:tr>
      <w:tr>
        <w:trPr>
          <w:trHeight w:val="739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Фактическое поступление доходов от перечисления части прибыли                    по результатам работы государственных унитарных предприятий                         за отчетный период</w:t>
            </w:r>
          </w:p>
        </w:tc>
      </w:tr>
      <w:tr>
        <w:trPr>
          <w:trHeight w:val="625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Фактическое поступление доходов от погашения задолженности                       и перерасчета по отмененным налогам, сборам и иным обязательным                    платежам, не поддается точному прогнозированию</w:t>
            </w:r>
          </w:p>
        </w:tc>
      </w:tr>
      <w:tr>
        <w:trPr>
          <w:trHeight w:val="573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Фактическое поступление доходов от реализации вторичного сырья,                   полученного в результате списания/утилизации имущества</w:t>
            </w:r>
          </w:p>
        </w:tc>
      </w:tr>
      <w:tr>
        <w:trPr>
          <w:trHeight w:val="567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Фактическое поступление доходов от реализации муниципального имущества, имеет несистемный характер, не поддается точному прогнозированию</w:t>
            </w:r>
          </w:p>
        </w:tc>
      </w:tr>
      <w:tr>
        <w:trPr>
          <w:trHeight w:val="77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Фактическое поступление доходов от уплаты налога</w:t>
            </w:r>
          </w:p>
        </w:tc>
      </w:tr>
      <w:tr>
        <w:trPr>
          <w:trHeight w:val="493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Фактическое поступление доходов по договорам аренды имущества                   (в том числе земельных участков) с учетом изменения количества                 действующих договоров (заключение, расторжение)</w:t>
            </w:r>
          </w:p>
        </w:tc>
      </w:tr>
      <w:tr>
        <w:trPr>
          <w:trHeight w:val="790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Фактическое поступление доходов с учетом изменений действующего               законодательства, повлиявших на размер платы и расчетные показатели      (изменение ставки, кадастровой стоимости, базы для расчета поступлений в бюджет)</w:t>
            </w:r>
          </w:p>
        </w:tc>
      </w:tr>
      <w:tr>
        <w:trPr>
          <w:trHeight w:val="77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Фактическое поступление доходов, имеющих несистемный и нерегулярный характер поступлений</w:t>
            </w:r>
          </w:p>
        </w:tc>
      </w:tr>
      <w:tr>
        <w:trPr>
          <w:trHeight w:val="77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Фактическое поступление платежей за пользование природными ресурсами</w:t>
            </w:r>
          </w:p>
        </w:tc>
      </w:tr>
      <w:tr>
        <w:trPr>
          <w:trHeight w:val="273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Фактическое поступление пожертвований от физических и юридических лиц</w:t>
            </w:r>
          </w:p>
        </w:tc>
      </w:tr>
      <w:tr>
        <w:trPr>
          <w:trHeight w:val="325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Фактическое поступление процентов (платы) от предоставления бюджетных кредитов бюджетам поселений Курганинского района</w:t>
            </w:r>
          </w:p>
        </w:tc>
      </w:tr>
      <w:tr>
        <w:trPr>
          <w:trHeight w:val="77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Фактическое поступление средств в счет погашения задолженности                   прошлых лет от приватизации имущества</w:t>
            </w:r>
          </w:p>
        </w:tc>
      </w:tr>
      <w:tr>
        <w:trPr>
          <w:trHeight w:val="77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Фактическое поступление средств от возврата остатков межбюджетных трансфертов, имеющих целевое назначение, прошлых лет</w:t>
            </w:r>
          </w:p>
        </w:tc>
      </w:tr>
      <w:tr>
        <w:trPr>
          <w:trHeight w:val="77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Фактическое поступление средств от возврата остатков субсидий прошлых лет иными организациями</w:t>
            </w:r>
          </w:p>
        </w:tc>
      </w:tr>
      <w:tr>
        <w:trPr>
          <w:trHeight w:val="77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Фактическое поступление средств от реализации вторичного сырья</w:t>
            </w:r>
          </w:p>
        </w:tc>
      </w:tr>
      <w:tr>
        <w:trPr>
          <w:trHeight w:val="77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Фактическое поступление сумм возврата дебиторской задолженности                прошлых лет и возмещения расходов  местного бюджета</w:t>
            </w:r>
          </w:p>
        </w:tc>
      </w:tr>
      <w:tr>
        <w:trPr>
          <w:trHeight w:val="77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Фактическое поступление сумм денежных взысканий (штрафов)</w:t>
            </w:r>
          </w:p>
        </w:tc>
      </w:tr>
      <w:tr>
        <w:trPr>
          <w:trHeight w:val="77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причины</w:t>
            </w:r>
          </w:p>
        </w:tc>
      </w:tr>
      <w:tr>
        <w:trPr>
          <w:trHeight w:val="77" w:hRule="atLeast"/>
        </w:trPr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Планируется в тысячах рублей</w:t>
            </w:r>
          </w:p>
        </w:tc>
      </w:tr>
      <w:tr>
        <w:trPr>
          <w:trHeight w:val="77" w:hRule="atLeast"/>
        </w:trPr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План будет уточнен на ближайшей сессии</w:t>
            </w:r>
          </w:p>
        </w:tc>
      </w:tr>
      <w:tr>
        <w:trPr>
          <w:trHeight w:val="77" w:hRule="atLeast"/>
        </w:trPr>
        <w:tc>
          <w:tcPr>
            <w:tcW w:w="9474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Раздел «Источники финансирования дефицита бюджета»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77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причины</w:t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причины</w:t>
            </w:r>
          </w:p>
        </w:tc>
      </w:tr>
    </w:tbl>
    <w:p>
      <w:pPr>
        <w:pStyle w:val="Normal"/>
        <w:spacing w:lineRule="atLeast" w:line="0"/>
        <w:rPr>
          <w:rFonts w:ascii="Calibri" w:hAnsi="Calibri" w:eastAsia="Calibri" w:cs="" w:asciiTheme="minorHAnsi" w:cstheme="minorBidi" w:eastAsiaTheme="minorHAnsi" w:hAnsiTheme="minorHAnsi"/>
          <w:lang w:eastAsia="en-US"/>
        </w:rPr>
      </w:pPr>
      <w:r>
        <w:rPr>
          <w:rFonts w:eastAsia="Calibri" w:cs="" w:cstheme="minorBidi" w:eastAsiaTheme="minorHAnsi" w:ascii="Calibri" w:hAnsi="Calibri"/>
          <w:lang w:eastAsia="en-US"/>
        </w:rPr>
      </w:r>
    </w:p>
    <w:tbl>
      <w:tblPr>
        <w:tblW w:w="9478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85"/>
        <w:gridCol w:w="8192"/>
      </w:tblGrid>
      <w:tr>
        <w:trPr>
          <w:tblHeader w:val="true"/>
          <w:trHeight w:val="77" w:hRule="atLeast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>
        <w:trPr>
          <w:trHeight w:val="459" w:hRule="atLeast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Возврат бюджетных кредитов муниципальными образованиями                      Краснодарского края осуществляется в соответствии с договорами                 о предоставлении бюджетных кредитов и с учетом объемов их предоставления бюджетам муниципальных образований Краснодарского края</w:t>
            </w:r>
          </w:p>
        </w:tc>
      </w:tr>
      <w:tr>
        <w:trPr>
          <w:trHeight w:val="77" w:hRule="atLeast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Возврат бюджетных кредитов муниципальными образованиями                      поселений Курганинского района  осуществляется в соответствии с договорами                 о предоставлении бюджетных кредитов и с учетом объемов их предоставления бюджетам муниципальных образований поселений Курганинского района</w:t>
            </w:r>
          </w:p>
        </w:tc>
      </w:tr>
      <w:tr>
        <w:trPr>
          <w:trHeight w:val="77" w:hRule="atLeast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Погашение бюджетных кредитов, в том числе на пополнение остатка средств на едином счете бюджета, не осуществлялось</w:t>
            </w:r>
          </w:p>
        </w:tc>
      </w:tr>
      <w:tr>
        <w:trPr>
          <w:trHeight w:val="77" w:hRule="atLeast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Погашение долговых обязательств согласно графику</w:t>
            </w:r>
          </w:p>
        </w:tc>
      </w:tr>
      <w:tr>
        <w:trPr>
          <w:trHeight w:val="77" w:hRule="atLeast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бюджетных кредитов бюджетам муниципальных                     образований Краснодарского края осуществляется в установленном порядке в соответствии с обращениями глав муниципальных образований                     Краснодарского края</w:t>
            </w:r>
          </w:p>
        </w:tc>
      </w:tr>
      <w:tr>
        <w:trPr>
          <w:trHeight w:val="141" w:hRule="atLeast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Привлечение бюджетных кредитов, в том числе на пополнение остатка средств на едином счете бюджета, в соответствии с заключенными                 соглашениями (договорами) о предоставлении бюджетного кредита</w:t>
            </w:r>
          </w:p>
        </w:tc>
      </w:tr>
      <w:tr>
        <w:trPr>
          <w:trHeight w:val="77" w:hRule="atLeast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Привлечение бюджетных кредитов, в том числе на пополнение остатка средств на едином счете бюджета, не осуществлялось</w:t>
            </w:r>
          </w:p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77" w:hRule="atLeast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причины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eastAsia="Batang" w:cs="Arial"/>
          <w:sz w:val="28"/>
          <w:szCs w:val="28"/>
        </w:rPr>
      </w:pPr>
      <w:r>
        <w:rPr>
          <w:rFonts w:eastAsia="Batang" w:cs="Arial"/>
          <w:sz w:val="28"/>
          <w:szCs w:val="28"/>
        </w:rPr>
        <w:t xml:space="preserve">Главный специалист – главный бухгалтер </w:t>
      </w:r>
    </w:p>
    <w:p>
      <w:pPr>
        <w:pStyle w:val="Normal"/>
        <w:rPr>
          <w:rFonts w:eastAsia="Batang" w:cs="Arial"/>
          <w:sz w:val="28"/>
          <w:szCs w:val="28"/>
        </w:rPr>
      </w:pPr>
      <w:r>
        <w:rPr>
          <w:rFonts w:eastAsia="Batang" w:cs="Arial"/>
          <w:sz w:val="28"/>
          <w:szCs w:val="28"/>
        </w:rPr>
        <w:t>администрации Воздвиженского</w:t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400" w:leader="none"/>
        </w:tabs>
        <w:rPr>
          <w:rFonts w:eastAsia="Batang" w:cs="Arial"/>
          <w:sz w:val="28"/>
          <w:szCs w:val="28"/>
          <w:lang w:eastAsia="en-US"/>
        </w:rPr>
      </w:pPr>
      <w:r>
        <w:rPr>
          <w:rFonts w:eastAsia="Batang" w:cs="Arial"/>
          <w:sz w:val="28"/>
          <w:szCs w:val="28"/>
          <w:lang w:eastAsia="en-US"/>
        </w:rPr>
        <w:t xml:space="preserve">сельского поселения  </w:t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400" w:leader="none"/>
        </w:tabs>
        <w:rPr>
          <w:sz w:val="28"/>
          <w:szCs w:val="28"/>
        </w:rPr>
      </w:pPr>
      <w:r>
        <w:rPr>
          <w:rFonts w:eastAsia="Batang" w:cs="Arial"/>
          <w:sz w:val="28"/>
          <w:szCs w:val="28"/>
          <w:lang w:eastAsia="en-US"/>
        </w:rPr>
        <w:t>Курганинского района</w:t>
      </w:r>
      <w:bookmarkStart w:id="0" w:name="_GoBack"/>
      <w:bookmarkEnd w:id="0"/>
      <w:r>
        <w:rPr>
          <w:rFonts w:eastAsia="Batang" w:cs="Arial"/>
          <w:sz w:val="28"/>
          <w:szCs w:val="28"/>
          <w:lang w:eastAsia="en-US"/>
        </w:rPr>
        <w:t xml:space="preserve">                                                                        Н.В. Лоскутова</w:t>
      </w:r>
    </w:p>
    <w:sectPr>
      <w:headerReference w:type="default" r:id="rId2"/>
      <w:type w:val="nextPage"/>
      <w:pgSz w:w="11906" w:h="16838"/>
      <w:pgMar w:left="1701" w:right="567" w:header="567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0</w:t>
    </w:r>
    <w:r>
      <w:rPr>
        <w:sz w:val="28"/>
        <w:szCs w:val="28"/>
      </w:rPr>
      <w:fldChar w:fldCharType="end"/>
    </w:r>
  </w:p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3479f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uiPriority w:val="99"/>
    <w:qFormat/>
    <w:rsid w:val="00116120"/>
    <w:rPr>
      <w:sz w:val="24"/>
      <w:szCs w:val="24"/>
    </w:rPr>
  </w:style>
  <w:style w:type="character" w:styleId="Style15" w:customStyle="1">
    <w:name w:val="Нижний колонтитул Знак"/>
    <w:qFormat/>
    <w:rsid w:val="00116120"/>
    <w:rPr>
      <w:sz w:val="24"/>
      <w:szCs w:val="24"/>
    </w:rPr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1">
    <w:name w:val="Основной шрифт абзаца1"/>
    <w:qFormat/>
    <w:rPr/>
  </w:style>
  <w:style w:type="character" w:styleId="Pagenumber">
    <w:name w:val="page number"/>
    <w:basedOn w:val="1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Title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semiHidden/>
    <w:qFormat/>
    <w:rsid w:val="00e20b4e"/>
    <w:pPr/>
    <w:rPr>
      <w:rFonts w:ascii="Tahoma" w:hAnsi="Tahoma" w:cs="Tahoma"/>
      <w:sz w:val="16"/>
      <w:szCs w:val="16"/>
    </w:rPr>
  </w:style>
  <w:style w:type="paragraph" w:styleId="Style22" w:customStyle="1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uiPriority w:val="99"/>
    <w:rsid w:val="0011612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rsid w:val="0011612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 w:customStyle="1">
    <w:name w:val="Текст в заданном формате"/>
    <w:basedOn w:val="Normal"/>
    <w:qFormat/>
    <w:pPr>
      <w:widowControl w:val="false"/>
      <w:suppressAutoHyphens w:val="true"/>
    </w:pPr>
    <w:rPr>
      <w:rFonts w:ascii="Courier New" w:hAnsi="Courier New" w:eastAsia="NSimSun" w:cs="Courier New"/>
      <w:sz w:val="20"/>
      <w:szCs w:val="20"/>
      <w:lang w:eastAsia="zh-CN" w:bidi="hi-IN"/>
    </w:rPr>
  </w:style>
  <w:style w:type="paragraph" w:styleId="11">
    <w:name w:val="Указатель1"/>
    <w:basedOn w:val="Normal"/>
    <w:qFormat/>
    <w:pPr/>
    <w:rPr>
      <w:rFonts w:cs="Arial"/>
    </w:rPr>
  </w:style>
  <w:style w:type="paragraph" w:styleId="12">
    <w:name w:val="Название1"/>
    <w:basedOn w:val="Normal"/>
    <w:qFormat/>
    <w:pPr>
      <w:spacing w:before="120" w:after="120"/>
    </w:pPr>
    <w:rPr>
      <w:rFonts w:cs="Arial"/>
      <w:i/>
      <w:iCs/>
    </w:rPr>
  </w:style>
  <w:style w:type="paragraph" w:styleId="13">
    <w:name w:val="Заголовок1"/>
    <w:basedOn w:val="Normal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111">
    <w:name w:val="Указатель11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rsid w:val="00151dd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4BF1E-BA1E-459E-8A64-7CB272068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Application>LibreOffice/7.1.5.2$Windows_X86_64 LibreOffice_project/85f04e9f809797b8199d13c421bd8a2b025d52b5</Application>
  <AppVersion>15.0000</AppVersion>
  <Pages>4</Pages>
  <Words>761</Words>
  <Characters>5936</Characters>
  <CharactersWithSpaces>7254</CharactersWithSpaces>
  <Paragraphs>80</Paragraphs>
  <Company>df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Чуяко</dc:creator>
  <dc:description/>
  <dc:language>ru-RU</dc:language>
  <cp:lastModifiedBy/>
  <dcterms:modified xsi:type="dcterms:W3CDTF">2024-01-16T11:55:43Z</dcterms:modified>
  <cp:revision>95</cp:revision>
  <dc:subject/>
  <dc:title>Приложение №  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