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/>
        <w:drawing>
          <wp:inline distT="0" distB="0" distL="0" distR="0">
            <wp:extent cx="552450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false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АДМИНИСТРАЦИЯ ВОЗДВИЖЕНСКОГО СЕЛЬСКОГО ПОСЕЛЕНИЯ</w:t>
      </w:r>
    </w:p>
    <w:p>
      <w:pPr>
        <w:pStyle w:val="Normal"/>
        <w:widowControl/>
        <w:suppressAutoHyphens w:val="false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КУРГАНИНСКОГО РАЙОНА</w:t>
      </w:r>
    </w:p>
    <w:p>
      <w:pPr>
        <w:pStyle w:val="Normal"/>
        <w:widowControl/>
        <w:suppressAutoHyphens w:val="false"/>
        <w:jc w:val="center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widowControl/>
        <w:suppressAutoHyphens w:val="false"/>
        <w:jc w:val="center"/>
        <w:rPr>
          <w:rFonts w:eastAsia="Calibri"/>
          <w:b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РАСПОРЯЖЕНИЕ</w:t>
      </w:r>
    </w:p>
    <w:p>
      <w:pPr>
        <w:pStyle w:val="Normal"/>
        <w:widowControl/>
        <w:suppressAutoHyphens w:val="false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widowControl/>
        <w:suppressAutoHyphens w:val="false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</w:r>
    </w:p>
    <w:p>
      <w:pPr>
        <w:pStyle w:val="Normal"/>
        <w:widowControl/>
        <w:suppressAutoHyphens w:val="fals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11.01.2022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№ </w:t>
      </w:r>
      <w:r>
        <w:rPr>
          <w:rFonts w:eastAsia="Calibri"/>
          <w:sz w:val="24"/>
          <w:szCs w:val="24"/>
          <w:lang w:eastAsia="en-US"/>
        </w:rPr>
        <w:t>05-Р</w:t>
      </w:r>
    </w:p>
    <w:p>
      <w:pPr>
        <w:pStyle w:val="Normal"/>
        <w:widowControl/>
        <w:suppressAutoHyphens w:val="false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станица Воздвиженская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rPr>
          <w:rFonts w:eastAsia="Andale Sans UI"/>
          <w:b/>
          <w:b/>
          <w:bCs/>
          <w:kern w:val="2"/>
          <w:sz w:val="26"/>
          <w:szCs w:val="26"/>
        </w:rPr>
      </w:pPr>
      <w:r>
        <w:rPr>
          <w:rFonts w:eastAsia="Andale Sans UI"/>
          <w:b/>
          <w:bCs/>
          <w:kern w:val="2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jc w:val="center"/>
        <w:rPr>
          <w:rFonts w:eastAsia="Andale Sans UI"/>
          <w:kern w:val="2"/>
          <w:szCs w:val="29"/>
        </w:rPr>
      </w:pPr>
      <w:r>
        <w:rPr>
          <w:rFonts w:eastAsia="Andale Sans UI"/>
          <w:kern w:val="2"/>
          <w:szCs w:val="29"/>
        </w:rPr>
      </w:r>
    </w:p>
    <w:p>
      <w:pPr>
        <w:pStyle w:val="Normal"/>
        <w:tabs>
          <w:tab w:val="clear" w:pos="720"/>
          <w:tab w:val="left" w:pos="6585" w:leader="none"/>
        </w:tabs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составлении и сроках </w:t>
      </w:r>
      <w:r>
        <w:rPr>
          <w:b/>
          <w:bCs/>
          <w:color w:val="000000"/>
          <w:sz w:val="28"/>
          <w:szCs w:val="28"/>
        </w:rPr>
        <w:t xml:space="preserve">представления </w:t>
      </w:r>
      <w:r>
        <w:rPr>
          <w:b/>
          <w:color w:val="000000"/>
          <w:sz w:val="28"/>
          <w:szCs w:val="28"/>
        </w:rPr>
        <w:t>годовой отчетности</w:t>
      </w:r>
    </w:p>
    <w:p>
      <w:pPr>
        <w:pStyle w:val="Normal"/>
        <w:tabs>
          <w:tab w:val="clear" w:pos="720"/>
          <w:tab w:val="left" w:pos="6585" w:leader="none"/>
        </w:tabs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исполнении консолидированного бюджета Воздвиженского</w:t>
      </w:r>
    </w:p>
    <w:p>
      <w:pPr>
        <w:pStyle w:val="Normal"/>
        <w:tabs>
          <w:tab w:val="clear" w:pos="720"/>
          <w:tab w:val="left" w:pos="6585" w:leader="none"/>
        </w:tabs>
        <w:jc w:val="center"/>
        <w:rPr>
          <w:b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Курганинского района</w:t>
      </w:r>
      <w:r>
        <w:rPr>
          <w:b/>
          <w:color w:val="000000"/>
          <w:sz w:val="28"/>
          <w:szCs w:val="28"/>
        </w:rPr>
        <w:t xml:space="preserve"> </w:t>
      </w:r>
    </w:p>
    <w:p>
      <w:pPr>
        <w:pStyle w:val="Normal"/>
        <w:tabs>
          <w:tab w:val="clear" w:pos="720"/>
          <w:tab w:val="left" w:pos="6585" w:leader="none"/>
        </w:tabs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2021 год и утверждении состава и сроков представления </w:t>
      </w:r>
    </w:p>
    <w:p>
      <w:pPr>
        <w:pStyle w:val="Normal"/>
        <w:tabs>
          <w:tab w:val="clear" w:pos="720"/>
          <w:tab w:val="left" w:pos="6585" w:leader="none"/>
        </w:tabs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квартальной, месячной отчетности в 2022 году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264.3 Бюджетного кодекса Российской Федерации, приказом Министерства финансов Краснодарского края                               от 27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декабря 2021 </w:t>
      </w:r>
      <w:r>
        <w:rPr>
          <w:sz w:val="28"/>
          <w:szCs w:val="28"/>
        </w:rPr>
        <w:t>г. № 429 «</w:t>
      </w:r>
      <w:r>
        <w:rPr>
          <w:color w:val="000000"/>
          <w:sz w:val="28"/>
          <w:szCs w:val="28"/>
        </w:rPr>
        <w:t xml:space="preserve">О составлении и сроках </w:t>
      </w:r>
      <w:r>
        <w:rPr>
          <w:bCs/>
          <w:color w:val="000000"/>
          <w:sz w:val="28"/>
          <w:szCs w:val="28"/>
        </w:rPr>
        <w:t xml:space="preserve">представления </w:t>
      </w:r>
      <w:r>
        <w:rPr>
          <w:color w:val="000000"/>
          <w:sz w:val="28"/>
          <w:szCs w:val="28"/>
        </w:rPr>
        <w:t>годовой отчетности об исполнении консолидированного бюджета Краснодарского края и годовой консолидированной бухгалтерской отчетности государственных (муниципальных) бюджетных и автономных учреждений Краснодарского края за 2021 год и утверждении состава и сроков представления квартальной, месячной отчетности в 2022 году»,</w:t>
      </w:r>
      <w:r>
        <w:rPr>
          <w:sz w:val="28"/>
          <w:szCs w:val="28"/>
        </w:rPr>
        <w:t xml:space="preserve"> а также в целях составления отчетности                      об исполнении консолидированного бюджета Воздвиженского сельского поселения Курганинского района (далее - бюджетная отчетность) финансовым отделом администрации Воздвиженского сельского поселения Курганинского района, и своевременного представления их в финансовое управление муниципального образования Курганинский район (далее - финансовое управление):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порядок составления и перечень форм годовой, квартальной и месячной отчетности в соответствии с требованиями: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финансов Российской Федерации от 28.12.2010 г. № </w:t>
      </w:r>
      <w:r>
        <w:rPr>
          <w:bCs/>
          <w:sz w:val="28"/>
          <w:szCs w:val="28"/>
        </w:rPr>
        <w:t xml:space="preserve">191н </w:t>
      </w:r>
      <w:r>
        <w:rPr>
          <w:sz w:val="28"/>
          <w:szCs w:val="28"/>
        </w:rPr>
        <w:t>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(с учетом изменений) - для участников бюджетного процесса;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финансов Российской Федерации                                       от 31 декабря 2016 г. №256н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финансов Российской Федерации                                      от 31 декабря 2016 г. №260н «Об утверждении федерального стандарта бухгалтерского учета для организаций государственного сектора Представление бухгалтерской (финансовой) отчетности»;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письма Федерального казначейства от 11.12.2012 г. № 42-7.4-05/2.1-704 «О порядке составления и представления финансовыми органами субъектов                РФ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(ф.0503324)».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письма Министерства финансов Российской Федерации                                          от 31 января 2011 г. № 06-02-10/3-978 «О порядке заполнения и представления Справочной таблицы к отчету об исполнении консолидированного бюджета»  (с учетом изменений);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929" w:leader="none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sz w:val="28"/>
          <w:szCs w:val="28"/>
        </w:rPr>
        <w:t>Утвердить:</w:t>
      </w:r>
    </w:p>
    <w:p>
      <w:pPr>
        <w:pStyle w:val="21"/>
        <w:shd w:val="clear" w:color="auto" w:fill="auto"/>
        <w:tabs>
          <w:tab w:val="clear" w:pos="720"/>
          <w:tab w:val="left" w:pos="916" w:leader="none"/>
          <w:tab w:val="left" w:pos="2842" w:leader="none"/>
          <w:tab w:val="left" w:pos="3756" w:leader="none"/>
          <w:tab w:val="left" w:pos="5733" w:leader="none"/>
          <w:tab w:val="left" w:pos="7918" w:leader="none"/>
        </w:tabs>
        <w:spacing w:lineRule="exact" w:line="306"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сроки представления сводной годовой бюджетной отчетности,                        представляемой Воздвиженским сельским поселением в электронном виде и на бумажных носителях в финансовое управление муниципального образования                 Курганинский район (приложение № 1)  - не позднее 7 февраля 2022 года;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92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форму 0503324К «Отчет об использовании межбюджетных трансфертов из краевого бюджета муниципальными образованиями и территориальным государственным внебюджетным фондом» (далее - ф.0503324К)                        (приложение 2).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-5245" w:leader="none"/>
        </w:tabs>
        <w:ind w:firstLine="70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>
        <w:rPr>
          <w:spacing w:val="2"/>
          <w:sz w:val="28"/>
          <w:szCs w:val="28"/>
        </w:rPr>
        <w:t>Начальнику финансового отдела Дивеевой И.В. и главному специалисту – главному бухгалтеру Лоскутовой Н.В. организовать работу специалистов, участвующих в подготовке бюджетной и бухгалтерской отчетности.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765" w:leader="none"/>
        </w:tabs>
        <w:ind w:right="36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Главному специалисту – главному бухгалтеру Лоскутовой Н.В. обеспечить:     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Style18"/>
        <w:rPr/>
      </w:pPr>
      <w:r>
        <w:rPr/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true"/>
          <w:textDirection w:val="lrTb"/>
          <w:docGrid w:type="default" w:linePitch="600" w:charSpace="40960"/>
        </w:sectPr>
      </w:pP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117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сверку показателей годовой поступлений и выбытий бюджетной отчетности с данными отчетности отделения Федерального казначейства по Курганинскому району;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117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введение дополнительных форм годовой отчетности согласно приложения 2 к настоящему распоряжению; 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117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сверку по остаткам средств местных бюджетов по состоянию                              на 1 января </w:t>
      </w:r>
      <w:r>
        <w:rPr>
          <w:bCs/>
          <w:sz w:val="28"/>
          <w:szCs w:val="28"/>
        </w:rPr>
        <w:t xml:space="preserve">2022 </w:t>
      </w:r>
      <w:r>
        <w:rPr>
          <w:sz w:val="28"/>
          <w:szCs w:val="28"/>
        </w:rPr>
        <w:t xml:space="preserve">г. с данными Южного главного </w:t>
      </w:r>
      <w:r>
        <w:rPr>
          <w:bCs/>
          <w:sz w:val="28"/>
          <w:szCs w:val="28"/>
        </w:rPr>
        <w:t xml:space="preserve">управления Центрального Банка </w:t>
      </w:r>
      <w:r>
        <w:rPr>
          <w:sz w:val="28"/>
          <w:szCs w:val="28"/>
        </w:rPr>
        <w:t>Российской Федерации и кредитных организаций;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117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своевременность и достоверность предоставления форм бюджетной отчетности в финансовое управление муниципального образования Курганинский район.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Установить сроки </w:t>
      </w:r>
      <w:r>
        <w:rPr>
          <w:bCs/>
          <w:sz w:val="28"/>
          <w:szCs w:val="28"/>
        </w:rPr>
        <w:t>представления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квартальной бюджетной отчетности  в</w:t>
      </w:r>
      <w:r>
        <w:rPr>
          <w:bCs/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году согласно приложению 3 к настоящему распоряжению.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113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 срок представления месячной бюджетной отчетности                       в 2022 году согласно приложению 4 к настоящему приказу.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-5245" w:leader="none"/>
        </w:tabs>
        <w:spacing w:lineRule="exact" w:line="302"/>
        <w:ind w:firstLine="70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pacing w:val="2"/>
          <w:sz w:val="28"/>
          <w:szCs w:val="28"/>
        </w:rPr>
        <w:t xml:space="preserve">Начальнику финансового отдела Дивеевой И.В. и главному бухгалтеру Лоскутовой Н.В. </w:t>
      </w:r>
      <w:r>
        <w:rPr>
          <w:sz w:val="28"/>
          <w:szCs w:val="28"/>
        </w:rPr>
        <w:t xml:space="preserve">обеспечить качественное составление годовой, квартальной и месячной бюджетной </w:t>
      </w:r>
      <w:r>
        <w:rPr>
          <w:bCs/>
          <w:sz w:val="28"/>
          <w:szCs w:val="28"/>
        </w:rPr>
        <w:t xml:space="preserve">отчетности </w:t>
      </w:r>
      <w:r>
        <w:rPr>
          <w:sz w:val="28"/>
          <w:szCs w:val="28"/>
        </w:rPr>
        <w:t xml:space="preserve">об исполнении бюджетов, пояснительных записок </w:t>
      </w:r>
      <w:r>
        <w:rPr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ним и </w:t>
      </w:r>
      <w:r>
        <w:rPr>
          <w:bCs/>
          <w:sz w:val="28"/>
          <w:szCs w:val="28"/>
        </w:rPr>
        <w:t>представление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финансовое управление                      в установленный срок.</w:t>
      </w:r>
    </w:p>
    <w:p>
      <w:pPr>
        <w:pStyle w:val="21"/>
        <w:shd w:val="clear" w:color="auto" w:fill="auto"/>
        <w:tabs>
          <w:tab w:val="clear" w:pos="720"/>
          <w:tab w:val="left" w:pos="1265" w:leader="none"/>
        </w:tabs>
        <w:spacing w:lineRule="exact" w:line="317"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8. Формировать свод показателей в форме 0503169 «Сведения                            но дебиторской и кредиторской задолженности» в разделе 2 «Сведения                           о просроченной задолженности» с учетом детализации показателей,                             отраженных в графе 11 «просроченная» раздела 1 «Сведения о дебиторской (кредиторской) задолженности», в разрезе номеров счетов бюджетного учета, даты возникновения просроченной задолженности, даты исполнения                             по правовому основанию. При этом графы 5-8 раздела 2 «Сведения                                 о просроченной задолженности» заполняются в случае наличия просроченной задолженности по номеру счета бюджетного учета в сумме более 500 000                  (пятисот тысяч) рублей по контрагенту на соответствующую дату                              возникновения задолженности и дату исполнения по правовому основанию,                  с указанием кодов и причин образования просроченной задолженности,                  установленных пунктом 167 Инструкции 191н;</w:t>
      </w:r>
    </w:p>
    <w:p>
      <w:pPr>
        <w:pStyle w:val="21"/>
        <w:shd w:val="clear" w:color="auto" w:fill="auto"/>
        <w:tabs>
          <w:tab w:val="clear" w:pos="720"/>
          <w:tab w:val="left" w:pos="1268" w:leader="none"/>
        </w:tabs>
        <w:spacing w:lineRule="exact" w:line="266" w:before="0" w:after="0"/>
        <w:ind w:left="840" w:hanging="0"/>
        <w:rPr>
          <w:sz w:val="28"/>
          <w:szCs w:val="28"/>
        </w:rPr>
      </w:pPr>
      <w:r>
        <w:rPr>
          <w:sz w:val="28"/>
          <w:szCs w:val="28"/>
        </w:rPr>
        <w:t>9. Графы «ОКТМО контрагента» ф. 0503324К не заполняются.</w:t>
      </w:r>
    </w:p>
    <w:p>
      <w:pPr>
        <w:pStyle w:val="21"/>
        <w:shd w:val="clear" w:color="auto" w:fill="auto"/>
        <w:spacing w:lineRule="auto" w:line="240" w:before="0" w:after="0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3 «Анализ причин образования остатков целевых средств»                      ф. 0503324К по состоянию на 1 апреля 2022 года, 1 июля 2022 года, 1 октября 2022 года не заполняется.</w:t>
      </w:r>
    </w:p>
    <w:p>
      <w:pPr>
        <w:pStyle w:val="21"/>
        <w:shd w:val="clear" w:color="auto" w:fill="auto"/>
        <w:spacing w:lineRule="auto" w:line="240" w:before="0" w:after="0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3 «Анализ причин образования остатков целевых средств»                  ф. 0503324К по состоянию на 1 января 2021 года, в графе 5 и 6 отражаются                 соответственно код и наименование причины образования остатка целевых средств:</w:t>
      </w:r>
    </w:p>
    <w:p>
      <w:pPr>
        <w:pStyle w:val="21"/>
        <w:shd w:val="clear" w:color="auto" w:fill="auto"/>
        <w:tabs>
          <w:tab w:val="clear" w:pos="720"/>
          <w:tab w:val="left" w:pos="1134" w:leader="none"/>
        </w:tabs>
        <w:spacing w:lineRule="auto" w:line="240" w:before="0" w:after="0"/>
        <w:ind w:firstLine="760"/>
        <w:rPr>
          <w:sz w:val="28"/>
          <w:szCs w:val="28"/>
        </w:rPr>
      </w:pPr>
      <w:r>
        <w:rPr>
          <w:sz w:val="28"/>
          <w:szCs w:val="28"/>
        </w:rPr>
        <w:t>01- уменьшение фактической численности получателей средств                           по сравнению  с запланированной;</w:t>
      </w:r>
    </w:p>
    <w:p>
      <w:pPr>
        <w:pStyle w:val="21"/>
        <w:shd w:val="clear" w:color="auto" w:fill="auto"/>
        <w:tabs>
          <w:tab w:val="clear" w:pos="720"/>
          <w:tab w:val="left" w:pos="1264" w:leader="none"/>
        </w:tabs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02- экономия, сложившаяся в результате оптимизации цены поставки                товаров, выполненных работ (оказания услуг) по итогам проведения конкурсных процедур;</w:t>
      </w:r>
    </w:p>
    <w:p>
      <w:pPr>
        <w:pStyle w:val="21"/>
        <w:shd w:val="clear" w:color="auto" w:fill="auto"/>
        <w:tabs>
          <w:tab w:val="clear" w:pos="720"/>
          <w:tab w:val="left" w:pos="1134" w:leader="none"/>
        </w:tabs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03- поступление от возврата остатков, образовавшихся за счет                                 восстановленной в текущем году дебиторской задолженности прошлых лет;</w:t>
      </w:r>
    </w:p>
    <w:p>
      <w:pPr>
        <w:pStyle w:val="21"/>
        <w:shd w:val="clear" w:color="auto" w:fill="auto"/>
        <w:tabs>
          <w:tab w:val="clear" w:pos="720"/>
          <w:tab w:val="left" w:pos="1134" w:leader="none"/>
        </w:tabs>
        <w:spacing w:lineRule="auto" w:line="240"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04- иные причины, не отнесенные к причинам 01-03.</w:t>
      </w:r>
    </w:p>
    <w:p>
      <w:pPr>
        <w:pStyle w:val="21"/>
        <w:shd w:val="clear" w:color="auto" w:fill="auto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Детальное описание причин образования остатка целевых средств                   указывается в текстовой части ф. 0503160 «Пояснительная записка к отчету                        об исполнении консолидированного бюджета».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-5387" w:leader="none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</w:t>
      </w:r>
      <w:r>
        <w:rPr>
          <w:sz w:val="28"/>
          <w:szCs w:val="28"/>
        </w:rPr>
        <w:t xml:space="preserve"> Обеспечить организацию работы по составлению и представлению                 в ус</w:t>
      </w:r>
      <w:r>
        <w:rPr>
          <w:spacing w:val="2"/>
          <w:sz w:val="28"/>
          <w:szCs w:val="28"/>
        </w:rPr>
        <w:t>тановленный срок в финансовое управление муниципального образования Курганинский район годовой, квартальной, месяч</w:t>
      </w:r>
      <w:r>
        <w:rPr>
          <w:sz w:val="28"/>
          <w:szCs w:val="28"/>
        </w:rPr>
        <w:t xml:space="preserve">ной отчетности                                об исполнении </w:t>
      </w:r>
      <w:r>
        <w:rPr>
          <w:bCs/>
          <w:sz w:val="28"/>
          <w:szCs w:val="28"/>
        </w:rPr>
        <w:t>консолидированного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Воздвиженского сельского поселения </w:t>
      </w:r>
      <w:r>
        <w:rPr>
          <w:spacing w:val="2"/>
          <w:sz w:val="28"/>
          <w:szCs w:val="28"/>
        </w:rPr>
        <w:t xml:space="preserve"> Курганинского района.</w:t>
      </w:r>
    </w:p>
    <w:p>
      <w:pPr>
        <w:pStyle w:val="Normal"/>
        <w:shd w:val="clear" w:color="auto" w:fill="FFFFFF"/>
        <w:tabs>
          <w:tab w:val="clear" w:pos="720"/>
          <w:tab w:val="left" w:pos="9214" w:leader="none"/>
        </w:tabs>
        <w:ind w:left="72" w:right="-1" w:hanging="0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11. </w:t>
      </w:r>
      <w:r>
        <w:rPr>
          <w:spacing w:val="-1"/>
          <w:sz w:val="28"/>
          <w:szCs w:val="28"/>
        </w:rPr>
        <w:t xml:space="preserve">Признать утратившим силу распоряжение администрации Воздвиженского сельского поселения Курганинский район                                          от 25 января 2021 г. № 09-Р </w:t>
      </w:r>
      <w:r>
        <w:rPr>
          <w:b/>
          <w:spacing w:val="3"/>
          <w:sz w:val="28"/>
          <w:szCs w:val="28"/>
        </w:rPr>
        <w:t>«</w:t>
      </w:r>
      <w:r>
        <w:rPr>
          <w:color w:val="000000"/>
          <w:spacing w:val="3"/>
          <w:sz w:val="28"/>
          <w:szCs w:val="28"/>
        </w:rPr>
        <w:t xml:space="preserve">О составлении и сроках представления годовой отчетности </w:t>
      </w:r>
      <w:r>
        <w:rPr>
          <w:color w:val="000000"/>
          <w:sz w:val="28"/>
          <w:szCs w:val="28"/>
        </w:rPr>
        <w:t xml:space="preserve">об исполнении консолидированного бюджета Воздвиженского сельского поселения Курганинского района за 2020 год и утверждении состава и сроков представления </w:t>
      </w:r>
      <w:r>
        <w:rPr>
          <w:color w:val="000000"/>
          <w:spacing w:val="2"/>
          <w:sz w:val="28"/>
          <w:szCs w:val="28"/>
        </w:rPr>
        <w:t>квартальной, месячной отчетности в 2021 году</w:t>
      </w:r>
      <w:r>
        <w:rPr>
          <w:spacing w:val="2"/>
          <w:sz w:val="28"/>
          <w:szCs w:val="28"/>
        </w:rPr>
        <w:t>».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-5245" w:leader="none"/>
        </w:tabs>
        <w:spacing w:lineRule="exact" w:line="302"/>
        <w:ind w:firstLine="709"/>
        <w:jc w:val="both"/>
        <w:rPr>
          <w:spacing w:val="-18"/>
          <w:sz w:val="28"/>
          <w:szCs w:val="28"/>
        </w:rPr>
      </w:pPr>
      <w:r>
        <w:rPr>
          <w:spacing w:val="2"/>
          <w:sz w:val="28"/>
          <w:szCs w:val="28"/>
        </w:rPr>
        <w:t>12. Главному бухгалтеру Лоскутовой Н.В. обеспечить размещение настоящего распоряжения на официальном сайте администрации Воздвиженского сельского поселения Курганинского района.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-5387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Контроль за выполнением настоящего распоряжения оставляю                       за собой.</w:t>
      </w:r>
    </w:p>
    <w:p>
      <w:pPr>
        <w:pStyle w:val="Normal"/>
        <w:shd w:val="clear" w:color="auto" w:fill="FFFFFF"/>
        <w:tabs>
          <w:tab w:val="clear" w:pos="720"/>
          <w:tab w:val="left" w:pos="-5954" w:leader="none"/>
          <w:tab w:val="left" w:pos="1066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Распоряжение вступает в силу со дня его подписания.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Воздвиженского сельского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</w:t>
        <w:tab/>
        <w:t xml:space="preserve">                                                   С.А. Курбатов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/>
        <w:t xml:space="preserve">Проект подготовлен и внесен: </w:t>
      </w:r>
    </w:p>
    <w:p>
      <w:pPr>
        <w:pStyle w:val="NoSpacing"/>
        <w:rPr/>
      </w:pPr>
      <w:r>
        <w:rPr/>
        <w:t>Главным специалистом – главным бухгалтером</w:t>
      </w:r>
    </w:p>
    <w:p>
      <w:pPr>
        <w:pStyle w:val="NoSpacing"/>
        <w:rPr/>
      </w:pPr>
      <w:r>
        <w:rPr/>
        <w:t xml:space="preserve">администрации Воздвиженского </w:t>
      </w:r>
    </w:p>
    <w:p>
      <w:pPr>
        <w:pStyle w:val="NoSpacing"/>
        <w:rPr/>
      </w:pPr>
      <w:r>
        <w:rPr/>
        <w:t>сельского поселения Курганинского района                                    Н.В. Лоскутова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Проект согласован:</w:t>
      </w:r>
    </w:p>
    <w:p>
      <w:pPr>
        <w:pStyle w:val="NoSpacing"/>
        <w:rPr/>
      </w:pPr>
      <w:r>
        <w:rPr/>
        <w:t>Заместитель главы</w:t>
      </w:r>
    </w:p>
    <w:p>
      <w:pPr>
        <w:pStyle w:val="NoSpacing"/>
        <w:rPr/>
      </w:pPr>
      <w:r>
        <w:rPr/>
        <w:t xml:space="preserve">Воздвиженского сельского поселения                                           И.А. Половодова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Начальник финансового отдела администрации </w:t>
      </w:r>
    </w:p>
    <w:p>
      <w:pPr>
        <w:pStyle w:val="NoSpacing"/>
        <w:rPr/>
      </w:pPr>
      <w:r>
        <w:rPr/>
        <w:t>Воздвиженского сельского поселения</w:t>
      </w:r>
    </w:p>
    <w:p>
      <w:pPr>
        <w:pStyle w:val="NoSpacing"/>
        <w:tabs>
          <w:tab w:val="clear" w:pos="720"/>
          <w:tab w:val="right" w:pos="9638" w:leader="none"/>
        </w:tabs>
        <w:rPr/>
      </w:pPr>
      <w:r>
        <w:rPr/>
        <w:t>Курганинского района</w:t>
        <w:tab/>
        <w:t xml:space="preserve">     И.В. Дивеева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continuous"/>
      <w:pgSz w:w="11906" w:h="16838"/>
      <w:pgMar w:left="1701" w:right="567" w:header="0" w:top="1134" w:footer="0" w:bottom="1134" w:gutter="0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2"/>
  </w:compat>
  <w:documentProtection w:edit="forms" w:enforcement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4e2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04e26"/>
    <w:rPr>
      <w:sz w:val="28"/>
      <w:szCs w:val="28"/>
    </w:rPr>
  </w:style>
  <w:style w:type="character" w:styleId="WW8Num2z0" w:customStyle="1">
    <w:name w:val="WW8Num2z0"/>
    <w:qFormat/>
    <w:rsid w:val="00a04e26"/>
    <w:rPr>
      <w:rFonts w:ascii="Times New Roman" w:hAnsi="Times New Roman" w:cs="Times New Roman"/>
      <w:spacing w:val="-2"/>
      <w:sz w:val="28"/>
      <w:szCs w:val="28"/>
    </w:rPr>
  </w:style>
  <w:style w:type="character" w:styleId="WW8Num3z0" w:customStyle="1">
    <w:name w:val="WW8Num3z0"/>
    <w:qFormat/>
    <w:rsid w:val="00a04e26"/>
    <w:rPr>
      <w:rFonts w:ascii="Times New Roman" w:hAnsi="Times New Roman" w:cs="Times New Roman"/>
      <w:spacing w:val="-1"/>
      <w:sz w:val="28"/>
      <w:szCs w:val="28"/>
    </w:rPr>
  </w:style>
  <w:style w:type="character" w:styleId="WW8Num4z0" w:customStyle="1">
    <w:name w:val="WW8Num4z0"/>
    <w:qFormat/>
    <w:rsid w:val="00a04e26"/>
    <w:rPr>
      <w:rFonts w:ascii="Times New Roman" w:hAnsi="Times New Roman" w:cs="Times New Roman"/>
    </w:rPr>
  </w:style>
  <w:style w:type="character" w:styleId="WW8Num4z1" w:customStyle="1">
    <w:name w:val="WW8Num4z1"/>
    <w:qFormat/>
    <w:rsid w:val="00a04e26"/>
    <w:rPr/>
  </w:style>
  <w:style w:type="character" w:styleId="WW8Num4z2" w:customStyle="1">
    <w:name w:val="WW8Num4z2"/>
    <w:qFormat/>
    <w:rsid w:val="00a04e26"/>
    <w:rPr/>
  </w:style>
  <w:style w:type="character" w:styleId="WW8Num4z3" w:customStyle="1">
    <w:name w:val="WW8Num4z3"/>
    <w:qFormat/>
    <w:rsid w:val="00a04e26"/>
    <w:rPr/>
  </w:style>
  <w:style w:type="character" w:styleId="WW8Num4z4" w:customStyle="1">
    <w:name w:val="WW8Num4z4"/>
    <w:qFormat/>
    <w:rsid w:val="00a04e26"/>
    <w:rPr/>
  </w:style>
  <w:style w:type="character" w:styleId="WW8Num4z5" w:customStyle="1">
    <w:name w:val="WW8Num4z5"/>
    <w:qFormat/>
    <w:rsid w:val="00a04e26"/>
    <w:rPr/>
  </w:style>
  <w:style w:type="character" w:styleId="WW8Num4z6" w:customStyle="1">
    <w:name w:val="WW8Num4z6"/>
    <w:qFormat/>
    <w:rsid w:val="00a04e26"/>
    <w:rPr/>
  </w:style>
  <w:style w:type="character" w:styleId="WW8Num4z7" w:customStyle="1">
    <w:name w:val="WW8Num4z7"/>
    <w:qFormat/>
    <w:rsid w:val="00a04e26"/>
    <w:rPr/>
  </w:style>
  <w:style w:type="character" w:styleId="WW8Num4z8" w:customStyle="1">
    <w:name w:val="WW8Num4z8"/>
    <w:qFormat/>
    <w:rsid w:val="00a04e26"/>
    <w:rPr/>
  </w:style>
  <w:style w:type="character" w:styleId="WW8Num5z0" w:customStyle="1">
    <w:name w:val="WW8Num5z0"/>
    <w:qFormat/>
    <w:rsid w:val="00a04e26"/>
    <w:rPr>
      <w:color w:val="000000"/>
      <w:sz w:val="28"/>
    </w:rPr>
  </w:style>
  <w:style w:type="character" w:styleId="WW8Num5z1" w:customStyle="1">
    <w:name w:val="WW8Num5z1"/>
    <w:qFormat/>
    <w:rsid w:val="00a04e26"/>
    <w:rPr/>
  </w:style>
  <w:style w:type="character" w:styleId="WW8Num5z2" w:customStyle="1">
    <w:name w:val="WW8Num5z2"/>
    <w:qFormat/>
    <w:rsid w:val="00a04e26"/>
    <w:rPr/>
  </w:style>
  <w:style w:type="character" w:styleId="WW8Num5z3" w:customStyle="1">
    <w:name w:val="WW8Num5z3"/>
    <w:qFormat/>
    <w:rsid w:val="00a04e26"/>
    <w:rPr/>
  </w:style>
  <w:style w:type="character" w:styleId="WW8Num5z4" w:customStyle="1">
    <w:name w:val="WW8Num5z4"/>
    <w:qFormat/>
    <w:rsid w:val="00a04e26"/>
    <w:rPr/>
  </w:style>
  <w:style w:type="character" w:styleId="WW8Num5z5" w:customStyle="1">
    <w:name w:val="WW8Num5z5"/>
    <w:qFormat/>
    <w:rsid w:val="00a04e26"/>
    <w:rPr/>
  </w:style>
  <w:style w:type="character" w:styleId="WW8Num5z6" w:customStyle="1">
    <w:name w:val="WW8Num5z6"/>
    <w:qFormat/>
    <w:rsid w:val="00a04e26"/>
    <w:rPr/>
  </w:style>
  <w:style w:type="character" w:styleId="WW8Num5z7" w:customStyle="1">
    <w:name w:val="WW8Num5z7"/>
    <w:qFormat/>
    <w:rsid w:val="00a04e26"/>
    <w:rPr/>
  </w:style>
  <w:style w:type="character" w:styleId="WW8Num5z8" w:customStyle="1">
    <w:name w:val="WW8Num5z8"/>
    <w:qFormat/>
    <w:rsid w:val="00a04e26"/>
    <w:rPr/>
  </w:style>
  <w:style w:type="character" w:styleId="WW8Num6z0" w:customStyle="1">
    <w:name w:val="WW8Num6z0"/>
    <w:qFormat/>
    <w:rsid w:val="00a04e26"/>
    <w:rPr>
      <w:rFonts w:ascii="Times New Roman" w:hAnsi="Times New Roman" w:cs="Times New Roman"/>
      <w:spacing w:val="-22"/>
      <w:sz w:val="28"/>
      <w:szCs w:val="28"/>
    </w:rPr>
  </w:style>
  <w:style w:type="character" w:styleId="WW8Num7z0" w:customStyle="1">
    <w:name w:val="WW8Num7z0"/>
    <w:qFormat/>
    <w:rsid w:val="00a04e26"/>
    <w:rPr>
      <w:rFonts w:ascii="Times New Roman" w:hAnsi="Times New Roman" w:cs="Times New Roman"/>
    </w:rPr>
  </w:style>
  <w:style w:type="character" w:styleId="WW8Num8z0" w:customStyle="1">
    <w:name w:val="WW8Num8z0"/>
    <w:qFormat/>
    <w:rsid w:val="00a04e26"/>
    <w:rPr>
      <w:rFonts w:ascii="Times New Roman" w:hAnsi="Times New Roman" w:cs="Times New Roman"/>
    </w:rPr>
  </w:style>
  <w:style w:type="character" w:styleId="WW8Num9z0" w:customStyle="1">
    <w:name w:val="WW8Num9z0"/>
    <w:qFormat/>
    <w:rsid w:val="00a04e26"/>
    <w:rPr>
      <w:rFonts w:ascii="Times New Roman" w:hAnsi="Times New Roman" w:cs="Times New Roman"/>
    </w:rPr>
  </w:style>
  <w:style w:type="character" w:styleId="WW8Num10z0" w:customStyle="1">
    <w:name w:val="WW8Num10z0"/>
    <w:qFormat/>
    <w:rsid w:val="00a04e26"/>
    <w:rPr>
      <w:rFonts w:ascii="Times New Roman" w:hAnsi="Times New Roman" w:cs="Times New Roman"/>
    </w:rPr>
  </w:style>
  <w:style w:type="character" w:styleId="WW8Num11z0" w:customStyle="1">
    <w:name w:val="WW8Num11z0"/>
    <w:qFormat/>
    <w:rsid w:val="00a04e26"/>
    <w:rPr>
      <w:rFonts w:ascii="Times New Roman" w:hAnsi="Times New Roman" w:cs="Times New Roman"/>
    </w:rPr>
  </w:style>
  <w:style w:type="character" w:styleId="WW8Num12z0" w:customStyle="1">
    <w:name w:val="WW8Num12z0"/>
    <w:qFormat/>
    <w:rsid w:val="00a04e26"/>
    <w:rPr>
      <w:rFonts w:ascii="Times New Roman" w:hAnsi="Times New Roman" w:cs="Times New Roman"/>
    </w:rPr>
  </w:style>
  <w:style w:type="character" w:styleId="WW8NumSt1z0" w:customStyle="1">
    <w:name w:val="WW8NumSt1z0"/>
    <w:qFormat/>
    <w:rsid w:val="00a04e26"/>
    <w:rPr>
      <w:rFonts w:ascii="Times New Roman" w:hAnsi="Times New Roman" w:cs="Times New Roman"/>
      <w:sz w:val="28"/>
      <w:szCs w:val="28"/>
    </w:rPr>
  </w:style>
  <w:style w:type="character" w:styleId="WW8NumSt3z0" w:customStyle="1">
    <w:name w:val="WW8NumSt3z0"/>
    <w:qFormat/>
    <w:rsid w:val="00a04e26"/>
    <w:rPr>
      <w:rFonts w:ascii="Times New Roman" w:hAnsi="Times New Roman" w:cs="Times New Roman"/>
      <w:spacing w:val="-1"/>
      <w:sz w:val="28"/>
      <w:szCs w:val="28"/>
    </w:rPr>
  </w:style>
  <w:style w:type="character" w:styleId="WW8NumSt13z0" w:customStyle="1">
    <w:name w:val="WW8NumSt13z0"/>
    <w:qFormat/>
    <w:rsid w:val="00a04e26"/>
    <w:rPr>
      <w:rFonts w:ascii="Times New Roman" w:hAnsi="Times New Roman" w:cs="Times New Roman"/>
    </w:rPr>
  </w:style>
  <w:style w:type="character" w:styleId="1" w:customStyle="1">
    <w:name w:val="Основной шрифт абзаца1"/>
    <w:qFormat/>
    <w:rsid w:val="00a04e26"/>
    <w:rPr/>
  </w:style>
  <w:style w:type="character" w:styleId="Style14" w:customStyle="1">
    <w:name w:val="Верхний колонтитул Знак"/>
    <w:basedOn w:val="1"/>
    <w:qFormat/>
    <w:rsid w:val="00a04e26"/>
    <w:rPr/>
  </w:style>
  <w:style w:type="character" w:styleId="Style15" w:customStyle="1">
    <w:name w:val="Нижний колонтитул Знак"/>
    <w:basedOn w:val="1"/>
    <w:qFormat/>
    <w:rsid w:val="00a04e26"/>
    <w:rPr/>
  </w:style>
  <w:style w:type="character" w:styleId="Style16" w:customStyle="1">
    <w:name w:val="Текст выноски Знак"/>
    <w:qFormat/>
    <w:rsid w:val="00a04e26"/>
    <w:rPr>
      <w:rFonts w:ascii="Tahoma" w:hAnsi="Tahoma" w:cs="Tahoma"/>
      <w:sz w:val="16"/>
      <w:szCs w:val="16"/>
    </w:rPr>
  </w:style>
  <w:style w:type="character" w:styleId="2" w:customStyle="1">
    <w:name w:val="Основной текст (2)_"/>
    <w:basedOn w:val="DefaultParagraphFont"/>
    <w:link w:val="20"/>
    <w:qFormat/>
    <w:rsid w:val="00d07f19"/>
    <w:rPr>
      <w:shd w:fill="FFFFFF" w:val="clear"/>
    </w:rPr>
  </w:style>
  <w:style w:type="character" w:styleId="214pt" w:customStyle="1">
    <w:name w:val="Основной текст (2) + 14 pt"/>
    <w:basedOn w:val="2"/>
    <w:qFormat/>
    <w:rsid w:val="00d07f19"/>
    <w:rPr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rsid w:val="00a04e26"/>
    <w:pPr>
      <w:spacing w:before="0" w:after="120"/>
    </w:pPr>
    <w:rPr/>
  </w:style>
  <w:style w:type="paragraph" w:styleId="Style19">
    <w:name w:val="List"/>
    <w:basedOn w:val="Style18"/>
    <w:rsid w:val="00a04e26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1" w:customStyle="1">
    <w:name w:val="Название1"/>
    <w:basedOn w:val="Normal"/>
    <w:next w:val="Style18"/>
    <w:qFormat/>
    <w:rsid w:val="00a04e2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a04e26"/>
    <w:pPr>
      <w:suppressLineNumbers/>
    </w:pPr>
    <w:rPr>
      <w:rFonts w:cs="Arial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rsid w:val="00a04e26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a04e26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a04e26"/>
    <w:pPr/>
    <w:rPr>
      <w:rFonts w:ascii="Tahoma" w:hAnsi="Tahoma" w:cs="Tahoma"/>
      <w:sz w:val="16"/>
      <w:szCs w:val="16"/>
    </w:rPr>
  </w:style>
  <w:style w:type="paragraph" w:styleId="21" w:customStyle="1">
    <w:name w:val="Основной текст (2)"/>
    <w:basedOn w:val="Normal"/>
    <w:link w:val="2"/>
    <w:qFormat/>
    <w:rsid w:val="00d07f19"/>
    <w:pPr>
      <w:shd w:val="clear" w:color="auto" w:fill="FFFFFF"/>
      <w:suppressAutoHyphens w:val="false"/>
      <w:spacing w:lineRule="exact" w:line="302" w:before="320" w:after="0"/>
      <w:jc w:val="both"/>
    </w:pPr>
    <w:rPr>
      <w:lang w:eastAsia="ru-RU"/>
    </w:rPr>
  </w:style>
  <w:style w:type="paragraph" w:styleId="NoSpacing">
    <w:name w:val="No Spacing"/>
    <w:uiPriority w:val="1"/>
    <w:qFormat/>
    <w:rsid w:val="00b366e7"/>
    <w:pPr>
      <w:widowControl/>
      <w:suppressAutoHyphens w:val="true"/>
      <w:bidi w:val="0"/>
      <w:spacing w:before="0" w:after="0"/>
      <w:jc w:val="both"/>
    </w:pPr>
    <w:rPr>
      <w:rFonts w:eastAsia="Calibri" w:eastAsiaTheme="minorHAnsi" w:ascii="Times New Roman" w:hAnsi="Times New Roman" w:cs="Times New Roman"/>
      <w:color w:val="auto"/>
      <w:kern w:val="0"/>
      <w:sz w:val="28"/>
      <w:szCs w:val="28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LibreOffice/7.1.5.2$Windows_X86_64 LibreOffice_project/85f04e9f809797b8199d13c421bd8a2b025d52b5</Application>
  <AppVersion>15.0000</AppVersion>
  <Pages>4</Pages>
  <Words>953</Words>
  <Characters>7102</Characters>
  <CharactersWithSpaces>9147</CharactersWithSpaces>
  <Paragraphs>57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2021-02-10T05:46:00Z</dcterms:created>
  <dc:creator>sekretar</dc:creator>
  <dc:description/>
  <dc:language>ru-RU</dc:language>
  <cp:lastModifiedBy/>
  <cp:lastPrinted>2022-01-19T06:33:00Z</cp:lastPrinted>
  <dcterms:modified xsi:type="dcterms:W3CDTF">2022-01-19T17:13:50Z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